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27B7C0DF"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F56DBD">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E42D49">
        <w:rPr>
          <w:rFonts w:ascii="Arial" w:hAnsi="Arial" w:cs="Arial"/>
          <w:b/>
          <w:bCs/>
        </w:rPr>
        <w:t>3133</w:t>
      </w:r>
    </w:p>
    <w:p w14:paraId="26EF9A1D" w14:textId="77777777" w:rsidR="00F20CDE" w:rsidRPr="00210D4C" w:rsidRDefault="00F20CDE" w:rsidP="00F20CD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7BD48549"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F2608D">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C925CA6" w:rsidR="00531215" w:rsidRPr="00764EBC" w:rsidRDefault="003D3C45" w:rsidP="00311702">
      <w:pPr>
        <w:pStyle w:val="3GPPHeader"/>
      </w:pPr>
      <w:r w:rsidRPr="00764EBC">
        <w:t>Title:</w:t>
      </w:r>
      <w:r w:rsidR="00E90E49" w:rsidRPr="00764EBC">
        <w:tab/>
      </w:r>
      <w:r w:rsidR="00F56DBD">
        <w:t>O</w:t>
      </w:r>
      <w:r w:rsidR="001C2DED">
        <w:t xml:space="preserve">n </w:t>
      </w:r>
      <w:r w:rsidR="00495F3B">
        <w:t>Tim</w:t>
      </w:r>
      <w:r w:rsidR="00F2608D">
        <w:t>e and Frequency Synchronization</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ADE7EC1" w14:textId="6CFCEFA1" w:rsidR="000A425A" w:rsidRDefault="00815CE8" w:rsidP="000A425A">
      <w:pPr>
        <w:jc w:val="both"/>
      </w:pPr>
      <w:r>
        <w:t>The study item description of NB-IoT/</w:t>
      </w:r>
      <w:proofErr w:type="spellStart"/>
      <w:r>
        <w:t>eMTC</w:t>
      </w:r>
      <w:proofErr w:type="spellEnd"/>
      <w:r>
        <w:t xml:space="preserve"> support for NTN was provided in </w:t>
      </w:r>
      <w:r>
        <w:fldChar w:fldCharType="begin"/>
      </w:r>
      <w:r>
        <w:instrText xml:space="preserve"> REF _Ref46861923 \r \h </w:instrText>
      </w:r>
      <w:r>
        <w:fldChar w:fldCharType="separate"/>
      </w:r>
      <w:r w:rsidR="00885DBA">
        <w:t>[1]</w:t>
      </w:r>
      <w:r>
        <w:fldChar w:fldCharType="end"/>
      </w:r>
      <w:r>
        <w:t xml:space="preserve">. One objective of this study item is to </w:t>
      </w:r>
      <w:r w:rsidR="00F2608D">
        <w:t>study</w:t>
      </w:r>
      <w:r>
        <w:t xml:space="preserve"> the tim</w:t>
      </w:r>
      <w:r w:rsidR="00F2608D">
        <w:t>e and frequency synchronization</w:t>
      </w:r>
      <w:r>
        <w:t xml:space="preserve">, where the conclusions of the studies performed for NR NTN in </w:t>
      </w:r>
      <w:r>
        <w:fldChar w:fldCharType="begin"/>
      </w:r>
      <w:r>
        <w:instrText xml:space="preserve"> REF _Ref53646739 \r \h </w:instrText>
      </w:r>
      <w:r>
        <w:fldChar w:fldCharType="separate"/>
      </w:r>
      <w:r w:rsidR="00885DBA">
        <w:t>[2]</w:t>
      </w:r>
      <w:r>
        <w:fldChar w:fldCharType="end"/>
      </w:r>
      <w:r>
        <w:t xml:space="preserve"> should be reused as much as possible. </w:t>
      </w:r>
      <w:r w:rsidR="000A425A">
        <w:t xml:space="preserve">The following agreements have been made in RAN1 #104-e meeting </w:t>
      </w:r>
      <w:r w:rsidR="000A425A">
        <w:fldChar w:fldCharType="begin"/>
      </w:r>
      <w:r w:rsidR="000A425A">
        <w:instrText xml:space="preserve"> REF _Ref65502314 \r \h </w:instrText>
      </w:r>
      <w:r w:rsidR="000A425A">
        <w:fldChar w:fldCharType="separate"/>
      </w:r>
      <w:r w:rsidR="00885DBA">
        <w:t>[3]</w:t>
      </w:r>
      <w:r w:rsidR="000A425A">
        <w:fldChar w:fldCharType="end"/>
      </w:r>
      <w:r w:rsidR="000A425A">
        <w:t xml:space="preserve">, </w:t>
      </w:r>
      <w:r w:rsidR="000A425A">
        <w:fldChar w:fldCharType="begin"/>
      </w:r>
      <w:r w:rsidR="000A425A">
        <w:instrText xml:space="preserve"> REF _Ref65578963 \r \h </w:instrText>
      </w:r>
      <w:r w:rsidR="000A425A">
        <w:fldChar w:fldCharType="separate"/>
      </w:r>
      <w:r w:rsidR="00885DBA">
        <w:t>[4]</w:t>
      </w:r>
      <w:r w:rsidR="000A425A">
        <w:fldChar w:fldCharType="end"/>
      </w:r>
      <w:r w:rsidR="000A425A">
        <w:t xml:space="preserve">. </w:t>
      </w:r>
    </w:p>
    <w:p w14:paraId="2CDA94EA" w14:textId="6CF31E28" w:rsidR="00815CE8" w:rsidRDefault="00815CE8" w:rsidP="000A425A">
      <w:pPr>
        <w:jc w:val="both"/>
      </w:pPr>
    </w:p>
    <w:p w14:paraId="29A41676" w14:textId="77777777" w:rsidR="000A425A" w:rsidRDefault="000A425A" w:rsidP="000A425A">
      <w:pPr>
        <w:ind w:left="1440" w:hanging="1440"/>
        <w:jc w:val="both"/>
        <w:rPr>
          <w:lang w:eastAsia="x-none"/>
        </w:rPr>
      </w:pPr>
      <w:r w:rsidRPr="00964AEC">
        <w:rPr>
          <w:highlight w:val="green"/>
          <w:lang w:eastAsia="x-none"/>
        </w:rPr>
        <w:t>Agreement:</w:t>
      </w:r>
    </w:p>
    <w:p w14:paraId="16FE74F3" w14:textId="77777777" w:rsidR="000A425A" w:rsidRDefault="000A425A" w:rsidP="000A425A">
      <w:pPr>
        <w:jc w:val="both"/>
        <w:rPr>
          <w:lang w:eastAsia="x-none"/>
        </w:rPr>
      </w:pPr>
      <w:r>
        <w:rPr>
          <w:lang w:eastAsia="x-none"/>
        </w:rPr>
        <w:t xml:space="preserve">Study potential impact of GNSS Position fix on UE power consumption using battery life methodology in Rel-13 TR 45.820 (Section 5.4) </w:t>
      </w:r>
    </w:p>
    <w:p w14:paraId="3AD95E14" w14:textId="77777777" w:rsidR="000A425A" w:rsidRDefault="000A425A" w:rsidP="000A425A">
      <w:pPr>
        <w:jc w:val="both"/>
        <w:rPr>
          <w:lang w:eastAsia="x-none"/>
        </w:rPr>
      </w:pPr>
      <w:r>
        <w:rPr>
          <w:lang w:eastAsia="x-none"/>
        </w:rPr>
        <w:t>FFS: Details of the study</w:t>
      </w:r>
    </w:p>
    <w:p w14:paraId="3FFAE9E6" w14:textId="77777777" w:rsidR="000A425A" w:rsidRDefault="000A425A" w:rsidP="000A425A">
      <w:pPr>
        <w:jc w:val="both"/>
        <w:rPr>
          <w:lang w:eastAsia="x-none"/>
        </w:rPr>
      </w:pPr>
    </w:p>
    <w:p w14:paraId="0F45A5BF" w14:textId="77777777" w:rsidR="000A425A" w:rsidRDefault="000A425A" w:rsidP="000A425A">
      <w:pPr>
        <w:jc w:val="both"/>
        <w:rPr>
          <w:lang w:eastAsia="x-none"/>
        </w:rPr>
      </w:pPr>
      <w:r w:rsidRPr="003B2B58">
        <w:rPr>
          <w:highlight w:val="green"/>
          <w:lang w:eastAsia="x-none"/>
        </w:rPr>
        <w:t>Agreement:</w:t>
      </w:r>
    </w:p>
    <w:p w14:paraId="7DF45B50" w14:textId="77777777" w:rsidR="000A425A" w:rsidRDefault="000A425A" w:rsidP="000A425A">
      <w:pPr>
        <w:jc w:val="both"/>
        <w:rPr>
          <w:lang w:eastAsia="x-none"/>
        </w:rPr>
      </w:pPr>
      <w:r w:rsidRPr="003B2B58">
        <w:rPr>
          <w:lang w:eastAsia="x-none"/>
        </w:rPr>
        <w:t>Discuss whether GNSS measurement window is needed and beneficial for initial access</w:t>
      </w:r>
      <w:r>
        <w:rPr>
          <w:lang w:eastAsia="x-none"/>
        </w:rPr>
        <w:t>.</w:t>
      </w:r>
    </w:p>
    <w:p w14:paraId="225FFE7B" w14:textId="77777777" w:rsidR="000A425A" w:rsidRDefault="000A425A" w:rsidP="000A425A">
      <w:pPr>
        <w:jc w:val="both"/>
        <w:rPr>
          <w:lang w:eastAsia="x-none"/>
        </w:rPr>
      </w:pPr>
    </w:p>
    <w:p w14:paraId="57B2763F" w14:textId="77777777" w:rsidR="000A425A" w:rsidRDefault="000A425A" w:rsidP="000A425A">
      <w:pPr>
        <w:jc w:val="both"/>
        <w:rPr>
          <w:lang w:eastAsia="x-none"/>
        </w:rPr>
      </w:pPr>
      <w:r w:rsidRPr="003B2B58">
        <w:rPr>
          <w:highlight w:val="green"/>
          <w:lang w:eastAsia="x-none"/>
        </w:rPr>
        <w:t>Agreement:</w:t>
      </w:r>
    </w:p>
    <w:p w14:paraId="746F2640" w14:textId="77777777" w:rsidR="000A425A" w:rsidRDefault="000A425A" w:rsidP="000A425A">
      <w:pPr>
        <w:jc w:val="both"/>
        <w:rPr>
          <w:lang w:eastAsia="x-none"/>
        </w:rPr>
      </w:pPr>
      <w:r>
        <w:rPr>
          <w:lang w:eastAsia="x-none"/>
        </w:rPr>
        <w:t>For the study of potential impact of GNSS Position fix on UE power consumption consider at least the following parameters</w:t>
      </w:r>
    </w:p>
    <w:p w14:paraId="671B5D82" w14:textId="77777777" w:rsidR="000A425A" w:rsidRDefault="000A425A" w:rsidP="000A425A">
      <w:pPr>
        <w:numPr>
          <w:ilvl w:val="0"/>
          <w:numId w:val="34"/>
        </w:numPr>
        <w:jc w:val="both"/>
        <w:rPr>
          <w:lang w:eastAsia="x-none"/>
        </w:rPr>
      </w:pPr>
      <w:r>
        <w:rPr>
          <w:lang w:eastAsia="x-none"/>
        </w:rPr>
        <w:t>GNSS power consumption value</w:t>
      </w:r>
    </w:p>
    <w:p w14:paraId="1FDF3299" w14:textId="77777777" w:rsidR="000A425A" w:rsidRDefault="000A425A" w:rsidP="000A425A">
      <w:pPr>
        <w:numPr>
          <w:ilvl w:val="0"/>
          <w:numId w:val="34"/>
        </w:numPr>
        <w:jc w:val="both"/>
        <w:rPr>
          <w:lang w:eastAsia="x-none"/>
        </w:rPr>
      </w:pPr>
      <w:r>
        <w:rPr>
          <w:lang w:eastAsia="x-none"/>
        </w:rPr>
        <w:t xml:space="preserve">GNSS position Time </w:t>
      </w:r>
      <w:proofErr w:type="gramStart"/>
      <w:r>
        <w:rPr>
          <w:lang w:eastAsia="x-none"/>
        </w:rPr>
        <w:t>To</w:t>
      </w:r>
      <w:proofErr w:type="gramEnd"/>
      <w:r>
        <w:rPr>
          <w:lang w:eastAsia="x-none"/>
        </w:rPr>
        <w:t xml:space="preserve"> First Fix</w:t>
      </w:r>
    </w:p>
    <w:p w14:paraId="50A4E069" w14:textId="77777777" w:rsidR="000A425A" w:rsidRDefault="000A425A" w:rsidP="000A425A">
      <w:pPr>
        <w:jc w:val="both"/>
        <w:rPr>
          <w:lang w:eastAsia="x-none"/>
        </w:rPr>
      </w:pPr>
    </w:p>
    <w:p w14:paraId="60B6F17D" w14:textId="77777777" w:rsidR="000A425A" w:rsidRDefault="000A425A" w:rsidP="000A425A">
      <w:pPr>
        <w:jc w:val="both"/>
        <w:rPr>
          <w:lang w:eastAsia="x-none"/>
        </w:rPr>
      </w:pPr>
      <w:r w:rsidRPr="006E2F3E">
        <w:rPr>
          <w:highlight w:val="green"/>
          <w:lang w:eastAsia="x-none"/>
        </w:rPr>
        <w:t>Agreement:</w:t>
      </w:r>
    </w:p>
    <w:p w14:paraId="655B34AE" w14:textId="77777777" w:rsidR="000A425A" w:rsidRDefault="000A425A" w:rsidP="000A425A">
      <w:pPr>
        <w:jc w:val="both"/>
        <w:rPr>
          <w:lang w:eastAsia="x-none"/>
        </w:rPr>
      </w:pPr>
      <w:r>
        <w:rPr>
          <w:lang w:eastAsia="x-none"/>
        </w:rPr>
        <w:t xml:space="preserve">Study potential impact of NTN SIB carrying the satellite ephemeris on </w:t>
      </w:r>
    </w:p>
    <w:p w14:paraId="7700E31B" w14:textId="77777777" w:rsidR="000A425A" w:rsidRDefault="000A425A" w:rsidP="000A425A">
      <w:pPr>
        <w:numPr>
          <w:ilvl w:val="0"/>
          <w:numId w:val="35"/>
        </w:numPr>
        <w:jc w:val="both"/>
        <w:rPr>
          <w:lang w:eastAsia="x-none"/>
        </w:rPr>
      </w:pPr>
      <w:r>
        <w:rPr>
          <w:lang w:eastAsia="x-none"/>
        </w:rPr>
        <w:t xml:space="preserve">UE power consumption in NB-IoT and </w:t>
      </w:r>
      <w:proofErr w:type="spellStart"/>
      <w:r>
        <w:rPr>
          <w:lang w:eastAsia="x-none"/>
        </w:rPr>
        <w:t>eMTC</w:t>
      </w:r>
      <w:proofErr w:type="spellEnd"/>
      <w:r>
        <w:rPr>
          <w:lang w:eastAsia="x-none"/>
        </w:rPr>
        <w:t xml:space="preserve"> </w:t>
      </w:r>
    </w:p>
    <w:p w14:paraId="78157239" w14:textId="77777777" w:rsidR="000A425A" w:rsidRDefault="000A425A" w:rsidP="000A425A">
      <w:pPr>
        <w:numPr>
          <w:ilvl w:val="0"/>
          <w:numId w:val="35"/>
        </w:numPr>
        <w:jc w:val="both"/>
        <w:rPr>
          <w:lang w:eastAsia="x-none"/>
        </w:rPr>
      </w:pPr>
      <w:r>
        <w:rPr>
          <w:lang w:eastAsia="x-none"/>
        </w:rPr>
        <w:t>Accuracy of satellite location tracking</w:t>
      </w:r>
    </w:p>
    <w:p w14:paraId="69CBF8CE" w14:textId="77777777" w:rsidR="000A425A" w:rsidRDefault="000A425A" w:rsidP="000A425A">
      <w:pPr>
        <w:numPr>
          <w:ilvl w:val="0"/>
          <w:numId w:val="35"/>
        </w:numPr>
        <w:jc w:val="both"/>
        <w:rPr>
          <w:lang w:eastAsia="x-none"/>
        </w:rPr>
      </w:pPr>
      <w:r>
        <w:rPr>
          <w:lang w:eastAsia="x-none"/>
        </w:rPr>
        <w:t>PRACH congestion</w:t>
      </w:r>
    </w:p>
    <w:p w14:paraId="5114D9AA" w14:textId="77777777" w:rsidR="000A425A" w:rsidRDefault="000A425A" w:rsidP="000A425A">
      <w:pPr>
        <w:jc w:val="both"/>
        <w:rPr>
          <w:lang w:eastAsia="x-none"/>
        </w:rPr>
      </w:pPr>
    </w:p>
    <w:p w14:paraId="27EF3F01" w14:textId="77777777" w:rsidR="000A425A" w:rsidRDefault="000A425A" w:rsidP="000A425A">
      <w:pPr>
        <w:jc w:val="both"/>
        <w:rPr>
          <w:lang w:eastAsia="x-none"/>
        </w:rPr>
      </w:pPr>
      <w:r w:rsidRPr="00B75D44">
        <w:rPr>
          <w:highlight w:val="green"/>
          <w:lang w:eastAsia="x-none"/>
        </w:rPr>
        <w:t>Agreement:</w:t>
      </w:r>
    </w:p>
    <w:p w14:paraId="2050C096" w14:textId="77777777" w:rsidR="000A425A" w:rsidRDefault="000A425A" w:rsidP="000A425A">
      <w:pPr>
        <w:jc w:val="both"/>
        <w:rPr>
          <w:lang w:eastAsia="x-none"/>
        </w:rPr>
      </w:pPr>
      <w:r>
        <w:rPr>
          <w:lang w:eastAsia="x-none"/>
        </w:rPr>
        <w:t xml:space="preserve">Study the UE pre-compensation of satellite delay during long UL transmission on (N)PUSCH in NB-IoT and </w:t>
      </w:r>
      <w:proofErr w:type="spellStart"/>
      <w:r>
        <w:rPr>
          <w:lang w:eastAsia="x-none"/>
        </w:rPr>
        <w:t>eMTC</w:t>
      </w:r>
      <w:proofErr w:type="spellEnd"/>
      <w:r>
        <w:rPr>
          <w:lang w:eastAsia="x-none"/>
        </w:rPr>
        <w:t xml:space="preserve">. </w:t>
      </w:r>
    </w:p>
    <w:p w14:paraId="54F90F4F" w14:textId="77777777" w:rsidR="000A425A" w:rsidRDefault="000A425A" w:rsidP="000A425A">
      <w:pPr>
        <w:jc w:val="both"/>
        <w:rPr>
          <w:lang w:eastAsia="x-none"/>
        </w:rPr>
      </w:pPr>
    </w:p>
    <w:p w14:paraId="71CD3B36" w14:textId="77777777" w:rsidR="000A425A" w:rsidRDefault="000A425A" w:rsidP="000A425A">
      <w:pPr>
        <w:jc w:val="both"/>
        <w:rPr>
          <w:lang w:eastAsia="x-none"/>
        </w:rPr>
      </w:pPr>
      <w:r w:rsidRPr="00B75D44">
        <w:rPr>
          <w:highlight w:val="green"/>
          <w:lang w:eastAsia="x-none"/>
        </w:rPr>
        <w:t>Agreement:</w:t>
      </w:r>
    </w:p>
    <w:p w14:paraId="69658DEF" w14:textId="77777777" w:rsidR="000A425A" w:rsidRDefault="000A425A" w:rsidP="000A425A">
      <w:pPr>
        <w:jc w:val="both"/>
        <w:rPr>
          <w:lang w:eastAsia="x-none"/>
        </w:rPr>
      </w:pPr>
      <w:r>
        <w:rPr>
          <w:lang w:eastAsia="x-none"/>
        </w:rPr>
        <w:t xml:space="preserve">Study the UE pre-compensation of satellite delay and Doppler during long UL transmission on PRACH in NB-IoT and </w:t>
      </w:r>
      <w:proofErr w:type="spellStart"/>
      <w:r>
        <w:rPr>
          <w:lang w:eastAsia="x-none"/>
        </w:rPr>
        <w:t>eMTC</w:t>
      </w:r>
      <w:proofErr w:type="spellEnd"/>
      <w:r>
        <w:rPr>
          <w:lang w:eastAsia="x-none"/>
        </w:rPr>
        <w:t>.</w:t>
      </w:r>
    </w:p>
    <w:p w14:paraId="78030BD2" w14:textId="77777777" w:rsidR="000A425A" w:rsidRDefault="000A425A" w:rsidP="000A425A">
      <w:pPr>
        <w:jc w:val="both"/>
        <w:rPr>
          <w:lang w:eastAsia="x-none"/>
        </w:rPr>
      </w:pPr>
    </w:p>
    <w:p w14:paraId="27E97D1D" w14:textId="77777777" w:rsidR="000A425A" w:rsidRDefault="000A425A" w:rsidP="000A425A">
      <w:pPr>
        <w:jc w:val="both"/>
        <w:rPr>
          <w:lang w:eastAsia="x-none"/>
        </w:rPr>
      </w:pPr>
      <w:r w:rsidRPr="00B75D44">
        <w:rPr>
          <w:highlight w:val="green"/>
          <w:lang w:eastAsia="x-none"/>
        </w:rPr>
        <w:t>Agreement:</w:t>
      </w:r>
    </w:p>
    <w:p w14:paraId="437184E5" w14:textId="77777777" w:rsidR="000A425A" w:rsidRDefault="000A425A" w:rsidP="000A425A">
      <w:pPr>
        <w:jc w:val="both"/>
        <w:rPr>
          <w:lang w:eastAsia="x-none"/>
        </w:rPr>
      </w:pPr>
      <w:r>
        <w:rPr>
          <w:lang w:eastAsia="x-none"/>
        </w:rPr>
        <w:t xml:space="preserve">Study the UE pre-compensation of satellite Doppler shift during long UL transmission on (N)PUSCH in NB-IoT and </w:t>
      </w:r>
      <w:proofErr w:type="spellStart"/>
      <w:r>
        <w:rPr>
          <w:lang w:eastAsia="x-none"/>
        </w:rPr>
        <w:t>eMTC</w:t>
      </w:r>
      <w:proofErr w:type="spellEnd"/>
      <w:r>
        <w:rPr>
          <w:lang w:eastAsia="x-none"/>
        </w:rPr>
        <w:t>.</w:t>
      </w:r>
    </w:p>
    <w:p w14:paraId="45D8CFAE" w14:textId="77777777" w:rsidR="000A425A" w:rsidRDefault="000A425A" w:rsidP="00815CE8">
      <w:pPr>
        <w:jc w:val="both"/>
      </w:pPr>
    </w:p>
    <w:p w14:paraId="27DDC513" w14:textId="77777777" w:rsidR="00BF2C61" w:rsidRPr="00E75532" w:rsidRDefault="00BF2C61" w:rsidP="00416D56">
      <w:pPr>
        <w:jc w:val="both"/>
        <w:rPr>
          <w:szCs w:val="20"/>
        </w:rPr>
      </w:pPr>
    </w:p>
    <w:p w14:paraId="05E5CF06" w14:textId="719E7C28"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402784">
        <w:rPr>
          <w:szCs w:val="20"/>
        </w:rPr>
        <w:t xml:space="preserve">various </w:t>
      </w:r>
      <w:r w:rsidR="009C0798" w:rsidRPr="003470D4">
        <w:rPr>
          <w:szCs w:val="20"/>
        </w:rPr>
        <w:t>topics of</w:t>
      </w:r>
      <w:r w:rsidR="00145E5A">
        <w:rPr>
          <w:szCs w:val="20"/>
        </w:rPr>
        <w:t xml:space="preserve"> time </w:t>
      </w:r>
      <w:r w:rsidR="00F2608D">
        <w:rPr>
          <w:szCs w:val="20"/>
        </w:rPr>
        <w:t>and frequency synchronization in IoT NTN</w:t>
      </w:r>
      <w:r w:rsidR="00250011">
        <w:rPr>
          <w:szCs w:val="20"/>
        </w:rPr>
        <w:t xml:space="preserve">. </w:t>
      </w:r>
    </w:p>
    <w:p w14:paraId="2737EA15" w14:textId="46DA8FA6" w:rsidR="00355ACF" w:rsidRDefault="00EA5A5B" w:rsidP="00CA376E">
      <w:pPr>
        <w:pStyle w:val="Heading1"/>
      </w:pPr>
      <w:r>
        <w:t>Discussion</w:t>
      </w:r>
    </w:p>
    <w:p w14:paraId="0A5C8AA7" w14:textId="184F5791" w:rsidR="004E739E" w:rsidRDefault="00F2608D" w:rsidP="00F2608D">
      <w:pPr>
        <w:jc w:val="both"/>
        <w:rPr>
          <w:bCs/>
          <w:iCs/>
        </w:rPr>
      </w:pPr>
      <w:r>
        <w:rPr>
          <w:bCs/>
          <w:iCs/>
        </w:rPr>
        <w:t xml:space="preserve">To limit the scope of this study item, it is a working assumption </w:t>
      </w:r>
      <w:r>
        <w:rPr>
          <w:bCs/>
          <w:iCs/>
        </w:rPr>
        <w:fldChar w:fldCharType="begin"/>
      </w:r>
      <w:r>
        <w:rPr>
          <w:bCs/>
          <w:iCs/>
        </w:rPr>
        <w:instrText xml:space="preserve"> REF _Ref46861923 \r \h </w:instrText>
      </w:r>
      <w:r>
        <w:rPr>
          <w:bCs/>
          <w:iCs/>
        </w:rPr>
      </w:r>
      <w:r>
        <w:rPr>
          <w:bCs/>
          <w:iCs/>
        </w:rPr>
        <w:fldChar w:fldCharType="separate"/>
      </w:r>
      <w:r w:rsidR="00885DBA">
        <w:rPr>
          <w:bCs/>
          <w:iCs/>
        </w:rPr>
        <w:t>[1]</w:t>
      </w:r>
      <w:r>
        <w:rPr>
          <w:bCs/>
          <w:iCs/>
        </w:rPr>
        <w:fldChar w:fldCharType="end"/>
      </w:r>
      <w:r>
        <w:rPr>
          <w:bCs/>
          <w:iCs/>
        </w:rPr>
        <w:t xml:space="preserve"> that UE has GNSS capability</w:t>
      </w:r>
      <w:r w:rsidR="00D83750">
        <w:rPr>
          <w:bCs/>
          <w:iCs/>
        </w:rPr>
        <w:t xml:space="preserve"> in IoT over NTN</w:t>
      </w:r>
      <w:r>
        <w:rPr>
          <w:bCs/>
          <w:iCs/>
        </w:rPr>
        <w:t xml:space="preserve">. With this assumption, a UE is able to estimate </w:t>
      </w:r>
      <w:r w:rsidR="00D83750">
        <w:rPr>
          <w:bCs/>
          <w:iCs/>
        </w:rPr>
        <w:t>UE specific TA based on its GNSS location and serving satellite ephemeris</w:t>
      </w:r>
      <w:r>
        <w:rPr>
          <w:bCs/>
          <w:iCs/>
        </w:rPr>
        <w:t>.</w:t>
      </w:r>
      <w:r w:rsidR="00D83750">
        <w:rPr>
          <w:bCs/>
          <w:iCs/>
        </w:rPr>
        <w:t xml:space="preserve"> If the TA between satellite and timing reference point is derived from broadcast information, UE is able to calculate the TA used for PRACH transmission. </w:t>
      </w:r>
    </w:p>
    <w:p w14:paraId="41B1955C" w14:textId="5F08D497" w:rsidR="0071042F" w:rsidRDefault="0071042F" w:rsidP="00F2608D">
      <w:pPr>
        <w:jc w:val="both"/>
        <w:rPr>
          <w:bCs/>
          <w:iCs/>
        </w:rPr>
      </w:pPr>
    </w:p>
    <w:p w14:paraId="0C9D2C1F" w14:textId="77777777" w:rsidR="002A737A" w:rsidRDefault="002A737A" w:rsidP="002A737A">
      <w:pPr>
        <w:jc w:val="both"/>
        <w:rPr>
          <w:bCs/>
          <w:iCs/>
        </w:rPr>
      </w:pPr>
      <w:r>
        <w:rPr>
          <w:bCs/>
          <w:iCs/>
        </w:rPr>
        <w:t xml:space="preserve">If UE pre-compensates an accurate timing advance in PRACH transmission, then the enhancement on the existing PRACH formats and/or preamble sequences in NB-IoT or </w:t>
      </w:r>
      <w:proofErr w:type="spellStart"/>
      <w:r>
        <w:rPr>
          <w:bCs/>
          <w:iCs/>
        </w:rPr>
        <w:t>eMTC</w:t>
      </w:r>
      <w:proofErr w:type="spellEnd"/>
      <w:r>
        <w:rPr>
          <w:bCs/>
          <w:iCs/>
        </w:rPr>
        <w:t xml:space="preserve"> seems not necessary, like in release 17 NR over NTN where no new NR PRACH formats and/or preamble sequences have been designed so far. </w:t>
      </w:r>
    </w:p>
    <w:p w14:paraId="550A70FB" w14:textId="77777777" w:rsidR="002A737A" w:rsidRDefault="002A737A" w:rsidP="00F2608D">
      <w:pPr>
        <w:jc w:val="both"/>
        <w:rPr>
          <w:bCs/>
          <w:iCs/>
        </w:rPr>
      </w:pPr>
    </w:p>
    <w:p w14:paraId="04CE3C56" w14:textId="5C9ECB03" w:rsidR="002A737A" w:rsidRDefault="002A737A" w:rsidP="00F2608D">
      <w:pPr>
        <w:jc w:val="both"/>
        <w:rPr>
          <w:bCs/>
          <w:iCs/>
        </w:rPr>
      </w:pPr>
      <w:r>
        <w:rPr>
          <w:bCs/>
          <w:iCs/>
        </w:rPr>
        <w:t>On the other hand, the simultaneous GNSS and NTN NB-IoT/</w:t>
      </w:r>
      <w:proofErr w:type="spellStart"/>
      <w:r>
        <w:rPr>
          <w:bCs/>
          <w:iCs/>
        </w:rPr>
        <w:t>eMTC</w:t>
      </w:r>
      <w:proofErr w:type="spellEnd"/>
      <w:r>
        <w:rPr>
          <w:bCs/>
          <w:iCs/>
        </w:rPr>
        <w:t xml:space="preserve"> operations is not assumed </w:t>
      </w:r>
      <w:r>
        <w:rPr>
          <w:bCs/>
          <w:iCs/>
        </w:rPr>
        <w:fldChar w:fldCharType="begin"/>
      </w:r>
      <w:r>
        <w:rPr>
          <w:bCs/>
          <w:iCs/>
        </w:rPr>
        <w:instrText xml:space="preserve"> REF _Ref46861923 \r \h </w:instrText>
      </w:r>
      <w:r>
        <w:rPr>
          <w:bCs/>
          <w:iCs/>
        </w:rPr>
      </w:r>
      <w:r>
        <w:rPr>
          <w:bCs/>
          <w:iCs/>
        </w:rPr>
        <w:fldChar w:fldCharType="separate"/>
      </w:r>
      <w:r w:rsidR="00885DBA">
        <w:rPr>
          <w:bCs/>
          <w:iCs/>
        </w:rPr>
        <w:t>[1]</w:t>
      </w:r>
      <w:r>
        <w:rPr>
          <w:bCs/>
          <w:iCs/>
        </w:rPr>
        <w:fldChar w:fldCharType="end"/>
      </w:r>
      <w:r>
        <w:rPr>
          <w:bCs/>
          <w:iCs/>
        </w:rPr>
        <w:t>. Hence, we think the GNSS measurement window is needed and beneficial for initial access.</w:t>
      </w:r>
    </w:p>
    <w:p w14:paraId="15D39DBF" w14:textId="1FE9F6BD" w:rsidR="00F63F94" w:rsidRDefault="00F63F94" w:rsidP="003B54AB">
      <w:pPr>
        <w:jc w:val="both"/>
        <w:rPr>
          <w:bCs/>
          <w:iCs/>
        </w:rPr>
      </w:pPr>
    </w:p>
    <w:p w14:paraId="10D995E4" w14:textId="44289C8B" w:rsidR="00A3444C" w:rsidRDefault="00A3444C" w:rsidP="00A3444C">
      <w:pPr>
        <w:jc w:val="both"/>
        <w:rPr>
          <w:i/>
        </w:rPr>
      </w:pPr>
      <w:r w:rsidRPr="00EB5C2A">
        <w:rPr>
          <w:b/>
          <w:i/>
          <w:u w:val="single"/>
        </w:rPr>
        <w:t xml:space="preserve">Proposal </w:t>
      </w:r>
      <w:r>
        <w:rPr>
          <w:b/>
          <w:i/>
          <w:u w:val="single"/>
        </w:rPr>
        <w:t>1</w:t>
      </w:r>
      <w:r w:rsidRPr="00EB5C2A">
        <w:rPr>
          <w:b/>
          <w:i/>
          <w:u w:val="single"/>
        </w:rPr>
        <w:t>:</w:t>
      </w:r>
      <w:r w:rsidRPr="00EB5C2A">
        <w:rPr>
          <w:i/>
        </w:rPr>
        <w:t xml:space="preserve"> </w:t>
      </w:r>
      <w:r>
        <w:rPr>
          <w:i/>
        </w:rPr>
        <w:t>In IoT over NTN, consider that UE pre-compensates a timing advance in PRACH transmission, which is composed of network indicated common timing offset and self-estimated UE specific TA based on its GNSS location and serving satellite ephemeris.</w:t>
      </w:r>
    </w:p>
    <w:p w14:paraId="650A4D85" w14:textId="574CDD07" w:rsidR="006D2E8C" w:rsidRDefault="006D2E8C" w:rsidP="00A3444C">
      <w:pPr>
        <w:jc w:val="both"/>
        <w:rPr>
          <w:i/>
        </w:rPr>
      </w:pPr>
    </w:p>
    <w:p w14:paraId="3AC83D18" w14:textId="381C5C7B" w:rsidR="006D2E8C" w:rsidRDefault="006D2E8C" w:rsidP="00A3444C">
      <w:pPr>
        <w:jc w:val="both"/>
        <w:rPr>
          <w:bCs/>
          <w:iCs/>
        </w:rPr>
      </w:pPr>
      <w:r w:rsidRPr="00EB5C2A">
        <w:rPr>
          <w:b/>
          <w:i/>
          <w:u w:val="single"/>
        </w:rPr>
        <w:t xml:space="preserve">Proposal </w:t>
      </w:r>
      <w:r>
        <w:rPr>
          <w:b/>
          <w:i/>
          <w:u w:val="single"/>
        </w:rPr>
        <w:t>2</w:t>
      </w:r>
      <w:r w:rsidRPr="00EB5C2A">
        <w:rPr>
          <w:b/>
          <w:i/>
          <w:u w:val="single"/>
        </w:rPr>
        <w:t>:</w:t>
      </w:r>
      <w:r w:rsidRPr="00EB5C2A">
        <w:rPr>
          <w:i/>
        </w:rPr>
        <w:t xml:space="preserve"> </w:t>
      </w:r>
      <w:r>
        <w:rPr>
          <w:i/>
        </w:rPr>
        <w:t xml:space="preserve">In IoT over NTN, the GNSS measurement window is needed and beneficial for initial access. </w:t>
      </w:r>
    </w:p>
    <w:p w14:paraId="5A08A678" w14:textId="4C712A70" w:rsidR="00A3444C" w:rsidRDefault="00A3444C" w:rsidP="00F2608D">
      <w:pPr>
        <w:jc w:val="both"/>
        <w:rPr>
          <w:bCs/>
          <w:iCs/>
        </w:rPr>
      </w:pPr>
    </w:p>
    <w:p w14:paraId="2C75DA56" w14:textId="4785E1BD" w:rsidR="00A3444C" w:rsidRDefault="006D2E8C" w:rsidP="00F2608D">
      <w:pPr>
        <w:jc w:val="both"/>
        <w:rPr>
          <w:bCs/>
          <w:iCs/>
        </w:rPr>
      </w:pPr>
      <w:r>
        <w:rPr>
          <w:bCs/>
          <w:iCs/>
        </w:rPr>
        <w:t>T</w:t>
      </w:r>
      <w:r w:rsidR="00671839">
        <w:rPr>
          <w:bCs/>
          <w:iCs/>
        </w:rPr>
        <w:t xml:space="preserve">he GNSS position </w:t>
      </w:r>
      <w:r>
        <w:rPr>
          <w:bCs/>
          <w:iCs/>
        </w:rPr>
        <w:t xml:space="preserve">Time </w:t>
      </w:r>
      <w:proofErr w:type="gramStart"/>
      <w:r>
        <w:rPr>
          <w:bCs/>
          <w:iCs/>
        </w:rPr>
        <w:t>To</w:t>
      </w:r>
      <w:proofErr w:type="gramEnd"/>
      <w:r>
        <w:rPr>
          <w:bCs/>
          <w:iCs/>
        </w:rPr>
        <w:t xml:space="preserve"> First Fix (TTFF) could be a few seconds. Considering the power consumption in GNSS positioning operations, </w:t>
      </w:r>
      <w:r w:rsidR="00671839">
        <w:rPr>
          <w:bCs/>
          <w:iCs/>
        </w:rPr>
        <w:t xml:space="preserve">it is likely that </w:t>
      </w:r>
      <w:r>
        <w:rPr>
          <w:bCs/>
          <w:iCs/>
        </w:rPr>
        <w:t>an IoT device</w:t>
      </w:r>
      <w:r w:rsidR="00671839">
        <w:rPr>
          <w:bCs/>
          <w:iCs/>
        </w:rPr>
        <w:t xml:space="preserve"> does not always have its instantaneous GNSS position</w:t>
      </w:r>
      <w:r>
        <w:rPr>
          <w:bCs/>
          <w:iCs/>
        </w:rPr>
        <w:t xml:space="preserve"> in RRC connected mode.</w:t>
      </w:r>
      <w:r w:rsidR="002A737A">
        <w:rPr>
          <w:bCs/>
          <w:iCs/>
        </w:rPr>
        <w:t xml:space="preserve"> It is possible that network could broadcast a common timing drift rate. However, this timing drift rate does not incorporate UE specific TA. A UE still needs to estimate UE specific TA for its uplink transmissions. </w:t>
      </w:r>
    </w:p>
    <w:p w14:paraId="7631D8B6" w14:textId="7153C223" w:rsidR="002A737A" w:rsidRDefault="002A737A" w:rsidP="00F2608D">
      <w:pPr>
        <w:jc w:val="both"/>
        <w:rPr>
          <w:bCs/>
          <w:iCs/>
        </w:rPr>
      </w:pPr>
    </w:p>
    <w:p w14:paraId="354BBB04" w14:textId="5018CDE6" w:rsidR="002A737A" w:rsidRDefault="002A737A" w:rsidP="00F2608D">
      <w:pPr>
        <w:jc w:val="both"/>
        <w:rPr>
          <w:bCs/>
          <w:iCs/>
        </w:rPr>
      </w:pPr>
      <w:r>
        <w:rPr>
          <w:bCs/>
          <w:iCs/>
        </w:rPr>
        <w:t>In NB-IoT, an uplink compensation gap exists during the long NPUSCH</w:t>
      </w:r>
      <w:r w:rsidR="008F6269">
        <w:rPr>
          <w:bCs/>
          <w:iCs/>
        </w:rPr>
        <w:t xml:space="preserve"> or NPRACH</w:t>
      </w:r>
      <w:r>
        <w:rPr>
          <w:bCs/>
          <w:iCs/>
        </w:rPr>
        <w:t xml:space="preserve"> transmissions. In terrestrial network, this uplink compensation gap of 40 </w:t>
      </w:r>
      <w:proofErr w:type="spellStart"/>
      <w:r>
        <w:rPr>
          <w:bCs/>
          <w:iCs/>
        </w:rPr>
        <w:t>ms</w:t>
      </w:r>
      <w:proofErr w:type="spellEnd"/>
      <w:r>
        <w:rPr>
          <w:bCs/>
          <w:iCs/>
        </w:rPr>
        <w:t xml:space="preserve"> allows UE to re-synchronize on downlink signaling when the long NPUSCH </w:t>
      </w:r>
      <w:r w:rsidR="008F6269">
        <w:rPr>
          <w:bCs/>
          <w:iCs/>
        </w:rPr>
        <w:t xml:space="preserve">or NPRACH </w:t>
      </w:r>
      <w:r>
        <w:rPr>
          <w:bCs/>
          <w:iCs/>
        </w:rPr>
        <w:t xml:space="preserve">transmission exceeds 256 </w:t>
      </w:r>
      <w:proofErr w:type="spellStart"/>
      <w:r>
        <w:rPr>
          <w:bCs/>
          <w:iCs/>
        </w:rPr>
        <w:t>ms.</w:t>
      </w:r>
      <w:proofErr w:type="spellEnd"/>
      <w:r>
        <w:rPr>
          <w:bCs/>
          <w:iCs/>
        </w:rPr>
        <w:t xml:space="preserve"> In NTN, the uplink compensation gap of 40 </w:t>
      </w:r>
      <w:proofErr w:type="spellStart"/>
      <w:r>
        <w:rPr>
          <w:bCs/>
          <w:iCs/>
        </w:rPr>
        <w:t>ms</w:t>
      </w:r>
      <w:proofErr w:type="spellEnd"/>
      <w:r>
        <w:rPr>
          <w:bCs/>
          <w:iCs/>
        </w:rPr>
        <w:t xml:space="preserve"> is not large enough </w:t>
      </w:r>
      <w:r w:rsidR="008F6269">
        <w:rPr>
          <w:bCs/>
          <w:iCs/>
        </w:rPr>
        <w:t xml:space="preserve">for GNSS positioning. Furthermore, the contiguous uplink transmission of 256 </w:t>
      </w:r>
      <w:proofErr w:type="spellStart"/>
      <w:r w:rsidR="008F6269">
        <w:rPr>
          <w:bCs/>
          <w:iCs/>
        </w:rPr>
        <w:t>ms</w:t>
      </w:r>
      <w:proofErr w:type="spellEnd"/>
      <w:r w:rsidR="008F6269">
        <w:rPr>
          <w:bCs/>
          <w:iCs/>
        </w:rPr>
        <w:t xml:space="preserve"> </w:t>
      </w:r>
      <w:r w:rsidR="0095028B">
        <w:rPr>
          <w:bCs/>
          <w:iCs/>
        </w:rPr>
        <w:t xml:space="preserve">without TA update </w:t>
      </w:r>
      <w:r w:rsidR="008F6269">
        <w:rPr>
          <w:bCs/>
          <w:iCs/>
        </w:rPr>
        <w:t xml:space="preserve">may not fit in NTN. Consider the timing drift rate of 20 </w:t>
      </w:r>
      <m:oMath>
        <m:r>
          <w:rPr>
            <w:rFonts w:ascii="Cambria Math" w:hAnsi="Cambria Math"/>
          </w:rPr>
          <m:t>μs/s</m:t>
        </m:r>
      </m:oMath>
      <w:r w:rsidR="008F6269">
        <w:rPr>
          <w:bCs/>
          <w:iCs/>
        </w:rPr>
        <w:t xml:space="preserve">. The timing drift is 5.12 </w:t>
      </w:r>
      <m:oMath>
        <m:r>
          <w:rPr>
            <w:rFonts w:ascii="Cambria Math" w:hAnsi="Cambria Math"/>
          </w:rPr>
          <m:t>μs</m:t>
        </m:r>
      </m:oMath>
      <w:r w:rsidR="008F6269">
        <w:rPr>
          <w:bCs/>
          <w:iCs/>
        </w:rPr>
        <w:t xml:space="preserve"> over the duration of 256 ms, which is already larger than cy</w:t>
      </w:r>
      <w:proofErr w:type="spellStart"/>
      <w:r w:rsidR="008F6269">
        <w:rPr>
          <w:bCs/>
          <w:iCs/>
        </w:rPr>
        <w:t>clic</w:t>
      </w:r>
      <w:proofErr w:type="spellEnd"/>
      <w:r w:rsidR="008F6269">
        <w:rPr>
          <w:bCs/>
          <w:iCs/>
        </w:rPr>
        <w:t xml:space="preserve"> prefix length. Hence, the duration of contiguous NPUSCH</w:t>
      </w:r>
      <w:r w:rsidR="0095028B">
        <w:rPr>
          <w:bCs/>
          <w:iCs/>
        </w:rPr>
        <w:t xml:space="preserve"> or NPRACH</w:t>
      </w:r>
      <w:r w:rsidR="008F6269">
        <w:rPr>
          <w:bCs/>
          <w:iCs/>
        </w:rPr>
        <w:t xml:space="preserve"> transmissions</w:t>
      </w:r>
      <w:r w:rsidR="0095028B">
        <w:rPr>
          <w:bCs/>
          <w:iCs/>
        </w:rPr>
        <w:t xml:space="preserve"> without TA update</w:t>
      </w:r>
      <w:r w:rsidR="008F6269">
        <w:rPr>
          <w:bCs/>
          <w:iCs/>
        </w:rPr>
        <w:t xml:space="preserve"> and the uplink compensation gap need to be enhanced. </w:t>
      </w:r>
    </w:p>
    <w:p w14:paraId="1C6AC186" w14:textId="468F02E7" w:rsidR="00671839" w:rsidRDefault="00671839" w:rsidP="00F2608D">
      <w:pPr>
        <w:jc w:val="both"/>
        <w:rPr>
          <w:bCs/>
          <w:iCs/>
        </w:rPr>
      </w:pPr>
    </w:p>
    <w:p w14:paraId="776F2DDC" w14:textId="653EAAA8" w:rsidR="00671839" w:rsidRDefault="00671839" w:rsidP="00F2608D">
      <w:pPr>
        <w:jc w:val="both"/>
        <w:rPr>
          <w:bCs/>
          <w:iCs/>
        </w:rPr>
      </w:pPr>
      <w:r w:rsidRPr="00EB5C2A">
        <w:rPr>
          <w:b/>
          <w:i/>
          <w:u w:val="single"/>
        </w:rPr>
        <w:t xml:space="preserve">Proposal </w:t>
      </w:r>
      <w:r w:rsidR="008F6269">
        <w:rPr>
          <w:b/>
          <w:i/>
          <w:u w:val="single"/>
        </w:rPr>
        <w:t>3</w:t>
      </w:r>
      <w:r w:rsidRPr="00EB5C2A">
        <w:rPr>
          <w:b/>
          <w:i/>
          <w:u w:val="single"/>
        </w:rPr>
        <w:t>:</w:t>
      </w:r>
      <w:r w:rsidRPr="00EB5C2A">
        <w:rPr>
          <w:i/>
        </w:rPr>
        <w:t xml:space="preserve"> </w:t>
      </w:r>
      <w:r w:rsidR="008F6269">
        <w:rPr>
          <w:i/>
        </w:rPr>
        <w:t xml:space="preserve">RAN1 to study the enhancement of the duration of contiguous NPRACH </w:t>
      </w:r>
      <w:r w:rsidR="00F76D0F">
        <w:rPr>
          <w:i/>
        </w:rPr>
        <w:t>or</w:t>
      </w:r>
      <w:r w:rsidR="008F6269">
        <w:rPr>
          <w:i/>
        </w:rPr>
        <w:t xml:space="preserve"> NPUSCH transmissions</w:t>
      </w:r>
      <w:r w:rsidR="0095028B">
        <w:rPr>
          <w:i/>
        </w:rPr>
        <w:t xml:space="preserve"> without TA update</w:t>
      </w:r>
      <w:r w:rsidR="008F6269">
        <w:rPr>
          <w:i/>
        </w:rPr>
        <w:t xml:space="preserve"> and the uplink compensation gap. </w:t>
      </w:r>
    </w:p>
    <w:p w14:paraId="7777DD49" w14:textId="77777777" w:rsidR="00A3444C" w:rsidRDefault="00A3444C" w:rsidP="00F2608D">
      <w:pPr>
        <w:jc w:val="both"/>
        <w:rPr>
          <w:bCs/>
          <w:iCs/>
        </w:rPr>
      </w:pPr>
    </w:p>
    <w:p w14:paraId="590DF239" w14:textId="49B5CD68" w:rsidR="00402784" w:rsidRDefault="003145AF" w:rsidP="00F2608D">
      <w:pPr>
        <w:jc w:val="both"/>
        <w:rPr>
          <w:bCs/>
          <w:iCs/>
        </w:rPr>
      </w:pPr>
      <w:r>
        <w:rPr>
          <w:bCs/>
          <w:iCs/>
        </w:rPr>
        <w:t>In NR over NTN, it was agreed</w:t>
      </w:r>
      <w:r w:rsidR="0069320E">
        <w:rPr>
          <w:bCs/>
          <w:iCs/>
        </w:rPr>
        <w:t xml:space="preserve"> </w:t>
      </w:r>
      <w:r w:rsidR="0069320E">
        <w:rPr>
          <w:bCs/>
          <w:iCs/>
        </w:rPr>
        <w:fldChar w:fldCharType="begin"/>
      </w:r>
      <w:r w:rsidR="0069320E">
        <w:rPr>
          <w:bCs/>
          <w:iCs/>
        </w:rPr>
        <w:instrText xml:space="preserve"> REF _Ref65847014 \r \h </w:instrText>
      </w:r>
      <w:r w:rsidR="0069320E">
        <w:rPr>
          <w:bCs/>
          <w:iCs/>
        </w:rPr>
      </w:r>
      <w:r w:rsidR="0069320E">
        <w:rPr>
          <w:bCs/>
          <w:iCs/>
        </w:rPr>
        <w:fldChar w:fldCharType="separate"/>
      </w:r>
      <w:r w:rsidR="0069320E">
        <w:rPr>
          <w:bCs/>
          <w:iCs/>
        </w:rPr>
        <w:t>[5]</w:t>
      </w:r>
      <w:r w:rsidR="0069320E">
        <w:rPr>
          <w:bCs/>
          <w:iCs/>
        </w:rPr>
        <w:fldChar w:fldCharType="end"/>
      </w:r>
      <w:r>
        <w:rPr>
          <w:bCs/>
          <w:iCs/>
        </w:rPr>
        <w:t xml:space="preserve"> that a UE is able to use its GNSS location and satellite ephemeris to est</w:t>
      </w:r>
      <w:r w:rsidR="00402784">
        <w:rPr>
          <w:bCs/>
          <w:iCs/>
        </w:rPr>
        <w:t>imate the service link Doppler shift. The UE then pre-compensates this frequency offset in its uplink transmissions. We think similar approach applies to IoT over NTN. Specifically, an IoT UE calculates the service link Doppler shift based on its GNSS location and serving satellite ephemeris, and then pre-compensates it in uplink transmissions.</w:t>
      </w:r>
    </w:p>
    <w:p w14:paraId="35662CDF" w14:textId="77777777" w:rsidR="003145AF" w:rsidRDefault="003145AF" w:rsidP="00F2608D">
      <w:pPr>
        <w:jc w:val="both"/>
        <w:rPr>
          <w:bCs/>
          <w:iCs/>
        </w:rPr>
      </w:pPr>
    </w:p>
    <w:p w14:paraId="3A171141" w14:textId="73D77ADA" w:rsidR="00F2608D" w:rsidRPr="00F2608D" w:rsidRDefault="00F2608D" w:rsidP="008F05B6">
      <w:pPr>
        <w:jc w:val="both"/>
        <w:rPr>
          <w:i/>
        </w:rPr>
      </w:pPr>
      <w:r w:rsidRPr="00EB5C2A">
        <w:rPr>
          <w:b/>
          <w:i/>
          <w:u w:val="single"/>
        </w:rPr>
        <w:lastRenderedPageBreak/>
        <w:t xml:space="preserve">Proposal </w:t>
      </w:r>
      <w:r w:rsidR="00402784">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76B3A5C1" w14:textId="7D4FF1BB" w:rsidR="00F2608D" w:rsidRDefault="00F2608D" w:rsidP="00F2608D">
      <w:pPr>
        <w:rPr>
          <w:rFonts w:eastAsia="SimSun"/>
          <w:color w:val="000000"/>
        </w:rPr>
      </w:pPr>
    </w:p>
    <w:p w14:paraId="087088BB" w14:textId="2CF41E95" w:rsidR="008600CF" w:rsidRDefault="00402784" w:rsidP="008600CF">
      <w:pPr>
        <w:jc w:val="both"/>
        <w:rPr>
          <w:rFonts w:eastAsia="SimSun"/>
          <w:color w:val="000000"/>
          <w:lang w:val="en-GB"/>
        </w:rPr>
      </w:pPr>
      <w:r>
        <w:rPr>
          <w:rFonts w:eastAsia="SimSun"/>
          <w:color w:val="000000"/>
          <w:lang w:val="en-GB"/>
        </w:rPr>
        <w:t>On the other hand, i</w:t>
      </w:r>
      <w:r w:rsidR="008600CF">
        <w:rPr>
          <w:rFonts w:eastAsia="SimSun"/>
          <w:color w:val="000000"/>
          <w:lang w:val="en-GB"/>
        </w:rPr>
        <w:t xml:space="preserve">n order to reduce UE complexity by minimizing its initial cell searching efforts, it is preferred that </w:t>
      </w:r>
      <w:r>
        <w:rPr>
          <w:rFonts w:eastAsia="SimSun"/>
          <w:color w:val="000000"/>
          <w:lang w:val="en-GB"/>
        </w:rPr>
        <w:t>network</w:t>
      </w:r>
      <w:r w:rsidR="008600CF">
        <w:rPr>
          <w:rFonts w:eastAsia="SimSun"/>
          <w:color w:val="000000"/>
          <w:lang w:val="en-GB"/>
        </w:rPr>
        <w:t xml:space="preserve"> pre-compensates the frequency offset of PSS/SSS/PBCH as well as other downlink signals. </w:t>
      </w:r>
    </w:p>
    <w:p w14:paraId="7EF99EAC" w14:textId="77777777" w:rsidR="008600CF" w:rsidRPr="008600CF" w:rsidRDefault="008600CF" w:rsidP="00F2608D">
      <w:pPr>
        <w:rPr>
          <w:rFonts w:eastAsia="SimSun"/>
          <w:color w:val="000000"/>
          <w:lang w:val="en-GB"/>
        </w:rPr>
      </w:pPr>
    </w:p>
    <w:p w14:paraId="75718D04" w14:textId="5255D837" w:rsidR="00F2608D" w:rsidRPr="00402784" w:rsidRDefault="008600CF" w:rsidP="008F05B6">
      <w:pPr>
        <w:jc w:val="both"/>
        <w:rPr>
          <w:i/>
        </w:rPr>
      </w:pPr>
      <w:r w:rsidRPr="001C381A">
        <w:rPr>
          <w:b/>
          <w:i/>
          <w:u w:val="single"/>
        </w:rPr>
        <w:t xml:space="preserve">Proposal </w:t>
      </w:r>
      <w:r w:rsidR="00402784">
        <w:rPr>
          <w:b/>
          <w:i/>
          <w:u w:val="single"/>
        </w:rPr>
        <w:t>5</w:t>
      </w:r>
      <w:r w:rsidRPr="001C381A">
        <w:rPr>
          <w:b/>
          <w:i/>
          <w:u w:val="single"/>
        </w:rPr>
        <w:t>:</w:t>
      </w:r>
      <w:r>
        <w:rPr>
          <w:i/>
        </w:rPr>
        <w:t xml:space="preserve"> Support </w:t>
      </w:r>
      <w:r w:rsidR="00402784">
        <w:rPr>
          <w:i/>
        </w:rPr>
        <w:t>network</w:t>
      </w:r>
      <w:r>
        <w:rPr>
          <w:i/>
        </w:rPr>
        <w:t xml:space="preserve"> pre-compensates the frequency offset in downlink transmissions. </w:t>
      </w:r>
    </w:p>
    <w:p w14:paraId="32A8C6D0" w14:textId="0FDFECF6" w:rsidR="00F2608D" w:rsidRDefault="00F2608D" w:rsidP="008F05B6">
      <w:pPr>
        <w:jc w:val="both"/>
      </w:pPr>
    </w:p>
    <w:p w14:paraId="2896E657" w14:textId="2DF29AD0" w:rsidR="00854A60" w:rsidRPr="00A6576F" w:rsidRDefault="009C5A97" w:rsidP="00FB330B">
      <w:pPr>
        <w:pStyle w:val="Heading1"/>
      </w:pPr>
      <w:r w:rsidRPr="00A6576F">
        <w:t>Conclusion</w:t>
      </w:r>
    </w:p>
    <w:p w14:paraId="1C116919" w14:textId="74F4CF4A"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402784">
        <w:rPr>
          <w:szCs w:val="20"/>
        </w:rPr>
        <w:t>time and frequency synchronization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1BA3780D" w14:textId="77777777" w:rsidR="00885DBA" w:rsidRDefault="00885DBA" w:rsidP="00885DBA">
      <w:pPr>
        <w:jc w:val="both"/>
        <w:rPr>
          <w:bCs/>
          <w:iCs/>
        </w:rPr>
      </w:pPr>
    </w:p>
    <w:p w14:paraId="69414FE1" w14:textId="77777777" w:rsidR="00885DBA" w:rsidRDefault="00885DBA" w:rsidP="00885DBA">
      <w:pPr>
        <w:jc w:val="both"/>
        <w:rPr>
          <w:i/>
        </w:rPr>
      </w:pPr>
      <w:r w:rsidRPr="00EB5C2A">
        <w:rPr>
          <w:b/>
          <w:i/>
          <w:u w:val="single"/>
        </w:rPr>
        <w:t xml:space="preserve">Proposal </w:t>
      </w:r>
      <w:r>
        <w:rPr>
          <w:b/>
          <w:i/>
          <w:u w:val="single"/>
        </w:rPr>
        <w:t>1</w:t>
      </w:r>
      <w:r w:rsidRPr="00EB5C2A">
        <w:rPr>
          <w:b/>
          <w:i/>
          <w:u w:val="single"/>
        </w:rPr>
        <w:t>:</w:t>
      </w:r>
      <w:r w:rsidRPr="00EB5C2A">
        <w:rPr>
          <w:i/>
        </w:rPr>
        <w:t xml:space="preserve"> </w:t>
      </w:r>
      <w:r>
        <w:rPr>
          <w:i/>
        </w:rPr>
        <w:t>In IoT over NTN, consider that UE pre-compensates a timing advance in PRACH transmission, which is composed of network indicated common timing offset and self-estimated UE specific TA based on its GNSS location and serving satellite ephemeris.</w:t>
      </w:r>
    </w:p>
    <w:p w14:paraId="09A25DAF" w14:textId="77777777" w:rsidR="00885DBA" w:rsidRDefault="00885DBA" w:rsidP="00885DBA">
      <w:pPr>
        <w:jc w:val="both"/>
        <w:rPr>
          <w:i/>
        </w:rPr>
      </w:pPr>
    </w:p>
    <w:p w14:paraId="34F0A81D" w14:textId="77777777" w:rsidR="00885DBA" w:rsidRDefault="00885DBA" w:rsidP="00885DBA">
      <w:pPr>
        <w:jc w:val="both"/>
        <w:rPr>
          <w:bCs/>
          <w:iCs/>
        </w:rPr>
      </w:pPr>
      <w:r w:rsidRPr="00EB5C2A">
        <w:rPr>
          <w:b/>
          <w:i/>
          <w:u w:val="single"/>
        </w:rPr>
        <w:t xml:space="preserve">Proposal </w:t>
      </w:r>
      <w:r>
        <w:rPr>
          <w:b/>
          <w:i/>
          <w:u w:val="single"/>
        </w:rPr>
        <w:t>2</w:t>
      </w:r>
      <w:r w:rsidRPr="00EB5C2A">
        <w:rPr>
          <w:b/>
          <w:i/>
          <w:u w:val="single"/>
        </w:rPr>
        <w:t>:</w:t>
      </w:r>
      <w:r w:rsidRPr="00EB5C2A">
        <w:rPr>
          <w:i/>
        </w:rPr>
        <w:t xml:space="preserve"> </w:t>
      </w:r>
      <w:r>
        <w:rPr>
          <w:i/>
        </w:rPr>
        <w:t xml:space="preserve">In IoT over NTN, the GNSS measurement window is needed and beneficial for initial access. </w:t>
      </w:r>
    </w:p>
    <w:p w14:paraId="7BC10B8E" w14:textId="156F6E72" w:rsidR="00885DBA" w:rsidRDefault="00885DBA" w:rsidP="009C0798">
      <w:pPr>
        <w:jc w:val="both"/>
      </w:pPr>
    </w:p>
    <w:p w14:paraId="557009D1" w14:textId="77777777" w:rsidR="0095028B" w:rsidRDefault="0095028B" w:rsidP="0095028B">
      <w:pPr>
        <w:jc w:val="both"/>
        <w:rPr>
          <w:bCs/>
          <w:iCs/>
        </w:rPr>
      </w:pPr>
      <w:r w:rsidRPr="00EB5C2A">
        <w:rPr>
          <w:b/>
          <w:i/>
          <w:u w:val="single"/>
        </w:rPr>
        <w:t xml:space="preserve">Proposal </w:t>
      </w:r>
      <w:r>
        <w:rPr>
          <w:b/>
          <w:i/>
          <w:u w:val="single"/>
        </w:rPr>
        <w:t>3</w:t>
      </w:r>
      <w:r w:rsidRPr="00EB5C2A">
        <w:rPr>
          <w:b/>
          <w:i/>
          <w:u w:val="single"/>
        </w:rPr>
        <w:t>:</w:t>
      </w:r>
      <w:r w:rsidRPr="00EB5C2A">
        <w:rPr>
          <w:i/>
        </w:rPr>
        <w:t xml:space="preserve"> </w:t>
      </w:r>
      <w:r>
        <w:rPr>
          <w:i/>
        </w:rPr>
        <w:t xml:space="preserve">RAN1 to study the enhancement of the duration of contiguous NPRACH or NPUSCH transmissions without TA update and the uplink compensation gap. </w:t>
      </w:r>
    </w:p>
    <w:p w14:paraId="6EECC2C9" w14:textId="77777777" w:rsidR="00885DBA" w:rsidRDefault="00885DBA" w:rsidP="009C0798">
      <w:pPr>
        <w:jc w:val="both"/>
      </w:pPr>
    </w:p>
    <w:p w14:paraId="47ED0006" w14:textId="4393C0A3" w:rsidR="00402784" w:rsidRPr="00F2608D" w:rsidRDefault="00402784" w:rsidP="00402784">
      <w:pPr>
        <w:jc w:val="both"/>
        <w:rPr>
          <w:i/>
        </w:rPr>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15DCE3FD" w14:textId="77777777" w:rsidR="00402784" w:rsidRDefault="00402784" w:rsidP="009C0798">
      <w:pPr>
        <w:jc w:val="both"/>
      </w:pPr>
    </w:p>
    <w:p w14:paraId="6173C250" w14:textId="5DD3E008" w:rsidR="00402784" w:rsidRDefault="00402784" w:rsidP="00B42176">
      <w:pPr>
        <w:jc w:val="both"/>
        <w:rPr>
          <w:i/>
        </w:rPr>
      </w:pPr>
      <w:r w:rsidRPr="001C381A">
        <w:rPr>
          <w:b/>
          <w:i/>
          <w:u w:val="single"/>
        </w:rPr>
        <w:t xml:space="preserve">Proposal </w:t>
      </w:r>
      <w:r>
        <w:rPr>
          <w:b/>
          <w:i/>
          <w:u w:val="single"/>
        </w:rPr>
        <w:t>5</w:t>
      </w:r>
      <w:r w:rsidRPr="001C381A">
        <w:rPr>
          <w:b/>
          <w:i/>
          <w:u w:val="single"/>
        </w:rPr>
        <w:t>:</w:t>
      </w:r>
      <w:r>
        <w:rPr>
          <w:i/>
        </w:rPr>
        <w:t xml:space="preserve"> Support network pre-compensates the frequency offset in downlink transmissions.</w:t>
      </w:r>
    </w:p>
    <w:p w14:paraId="24468A92" w14:textId="77777777" w:rsidR="00402784" w:rsidRPr="00FD4C3F" w:rsidRDefault="00402784" w:rsidP="00B42176">
      <w:pPr>
        <w:jc w:val="both"/>
        <w:rPr>
          <w:i/>
        </w:rPr>
      </w:pPr>
    </w:p>
    <w:p w14:paraId="2E75F001" w14:textId="77777777" w:rsidR="007E70BB" w:rsidRPr="00A6576F" w:rsidRDefault="005C63AE" w:rsidP="007E70BB">
      <w:pPr>
        <w:pStyle w:val="Heading1"/>
      </w:pPr>
      <w:r w:rsidRPr="00A6576F">
        <w:t>References</w:t>
      </w:r>
    </w:p>
    <w:p w14:paraId="0449C24B" w14:textId="7B1555CA"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RP-20</w:t>
      </w:r>
      <w:r w:rsidR="00F94D45">
        <w:t>2</w:t>
      </w:r>
      <w:r w:rsidR="00815CE8">
        <w:t>689</w:t>
      </w:r>
      <w:r>
        <w:t xml:space="preserve">, </w:t>
      </w:r>
      <w:r w:rsidR="00ED5A03">
        <w:t>“</w:t>
      </w:r>
      <w:r w:rsidR="00815CE8">
        <w:t>New study WID on NB-IoT/</w:t>
      </w:r>
      <w:proofErr w:type="spellStart"/>
      <w:r w:rsidR="00815CE8">
        <w:t>eMTC</w:t>
      </w:r>
      <w:proofErr w:type="spellEnd"/>
      <w:r w:rsidR="00815CE8">
        <w:t xml:space="preserve"> support for NTN</w:t>
      </w:r>
      <w:r>
        <w:t>,</w:t>
      </w:r>
      <w:r w:rsidR="00ED5A03">
        <w:t>”</w:t>
      </w:r>
      <w:r>
        <w:t xml:space="preserve"> </w:t>
      </w:r>
      <w:r w:rsidR="00F94D45">
        <w:t>Dec</w:t>
      </w:r>
      <w:r>
        <w:t>. 2020.</w:t>
      </w:r>
      <w:bookmarkEnd w:id="0"/>
      <w:r>
        <w:t xml:space="preserve"> </w:t>
      </w:r>
    </w:p>
    <w:p w14:paraId="7BEAAC42" w14:textId="7A46ECB3" w:rsidR="00815CE8" w:rsidRDefault="00815CE8" w:rsidP="00815C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3646739"/>
      <w:bookmarkEnd w:id="1"/>
      <w:bookmarkEnd w:id="2"/>
      <w:r>
        <w:t>3GPP TR 38.821, Solution for NR to support non terrestrial networks (NTN), v. 16.2.0, Dec. 2019.</w:t>
      </w:r>
      <w:bookmarkEnd w:id="3"/>
    </w:p>
    <w:p w14:paraId="5539D8CE" w14:textId="77777777" w:rsidR="000A425A" w:rsidRDefault="000A425A" w:rsidP="000A42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65502314"/>
      <w:bookmarkStart w:id="5" w:name="_Ref49784738"/>
      <w:bookmarkStart w:id="6" w:name="_Ref60910630"/>
      <w:r>
        <w:t>Chairman’s Notes, 3GPP TSG RAN1 WG1 #104-e Meeting, Feb. 2021.</w:t>
      </w:r>
      <w:bookmarkEnd w:id="4"/>
    </w:p>
    <w:p w14:paraId="273F37B8" w14:textId="21F5A0E1" w:rsidR="000A425A" w:rsidRDefault="000A425A" w:rsidP="000A42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65578963"/>
      <w:r>
        <w:t>R1-2102103, “S</w:t>
      </w:r>
      <w:r w:rsidRPr="00D719CB">
        <w:t>ummary #</w:t>
      </w:r>
      <w:r>
        <w:t>4</w:t>
      </w:r>
      <w:r w:rsidRPr="00D719CB">
        <w:t xml:space="preserve"> of AI 8.15.</w:t>
      </w:r>
      <w:r>
        <w:t>2</w:t>
      </w:r>
      <w:r w:rsidRPr="00D719CB">
        <w:t xml:space="preserve"> </w:t>
      </w:r>
      <w:r>
        <w:t>Enhancements to time and frequency synchronization”, Feb. 2021.</w:t>
      </w:r>
      <w:bookmarkEnd w:id="7"/>
      <w:r>
        <w:t xml:space="preserve">  </w:t>
      </w:r>
    </w:p>
    <w:p w14:paraId="064ED6BB" w14:textId="1EE13468" w:rsidR="008D254E" w:rsidRPr="00175F67" w:rsidRDefault="00402784" w:rsidP="004B1D7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65847014"/>
      <w:r>
        <w:t>Chairman’s Notes, 3GPP TSG RAN1 WG1 #103-e Meeting, Nov. 2020.</w:t>
      </w:r>
      <w:bookmarkEnd w:id="5"/>
      <w:bookmarkEnd w:id="6"/>
      <w:bookmarkEnd w:id="8"/>
      <w:r w:rsidR="008D254E">
        <w:t xml:space="preserve"> </w:t>
      </w:r>
    </w:p>
    <w:sectPr w:rsidR="008D254E"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89241" w14:textId="77777777" w:rsidR="005D7E6A" w:rsidRDefault="005D7E6A">
      <w:r>
        <w:separator/>
      </w:r>
    </w:p>
  </w:endnote>
  <w:endnote w:type="continuationSeparator" w:id="0">
    <w:p w14:paraId="1DA572D0" w14:textId="77777777" w:rsidR="005D7E6A" w:rsidRDefault="005D7E6A">
      <w:r>
        <w:continuationSeparator/>
      </w:r>
    </w:p>
  </w:endnote>
  <w:endnote w:type="continuationNotice" w:id="1">
    <w:p w14:paraId="7AA6CE15" w14:textId="77777777" w:rsidR="005D7E6A" w:rsidRDefault="005D7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D829D" w14:textId="77777777" w:rsidR="005D7E6A" w:rsidRDefault="005D7E6A">
      <w:r>
        <w:separator/>
      </w:r>
    </w:p>
  </w:footnote>
  <w:footnote w:type="continuationSeparator" w:id="0">
    <w:p w14:paraId="2F5AA7D1" w14:textId="77777777" w:rsidR="005D7E6A" w:rsidRDefault="005D7E6A">
      <w:r>
        <w:continuationSeparator/>
      </w:r>
    </w:p>
  </w:footnote>
  <w:footnote w:type="continuationNotice" w:id="1">
    <w:p w14:paraId="3B8EC035" w14:textId="77777777" w:rsidR="005D7E6A" w:rsidRDefault="005D7E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20"/>
  </w:num>
  <w:num w:numId="10">
    <w:abstractNumId w:val="0"/>
  </w:num>
  <w:num w:numId="11">
    <w:abstractNumId w:val="27"/>
  </w:num>
  <w:num w:numId="12">
    <w:abstractNumId w:val="5"/>
  </w:num>
  <w:num w:numId="13">
    <w:abstractNumId w:val="22"/>
  </w:num>
  <w:num w:numId="14">
    <w:abstractNumId w:val="16"/>
  </w:num>
  <w:num w:numId="15">
    <w:abstractNumId w:val="31"/>
  </w:num>
  <w:num w:numId="16">
    <w:abstractNumId w:val="34"/>
  </w:num>
  <w:num w:numId="17">
    <w:abstractNumId w:val="10"/>
  </w:num>
  <w:num w:numId="18">
    <w:abstractNumId w:val="26"/>
  </w:num>
  <w:num w:numId="19">
    <w:abstractNumId w:val="13"/>
  </w:num>
  <w:num w:numId="20">
    <w:abstractNumId w:val="9"/>
  </w:num>
  <w:num w:numId="21">
    <w:abstractNumId w:val="21"/>
  </w:num>
  <w:num w:numId="22">
    <w:abstractNumId w:val="6"/>
  </w:num>
  <w:num w:numId="23">
    <w:abstractNumId w:val="19"/>
  </w:num>
  <w:num w:numId="24">
    <w:abstractNumId w:val="3"/>
  </w:num>
  <w:num w:numId="25">
    <w:abstractNumId w:val="7"/>
  </w:num>
  <w:num w:numId="26">
    <w:abstractNumId w:val="32"/>
  </w:num>
  <w:num w:numId="27">
    <w:abstractNumId w:val="2"/>
  </w:num>
  <w:num w:numId="28">
    <w:abstractNumId w:val="8"/>
  </w:num>
  <w:num w:numId="29">
    <w:abstractNumId w:val="30"/>
  </w:num>
  <w:num w:numId="30">
    <w:abstractNumId w:val="4"/>
  </w:num>
  <w:num w:numId="31">
    <w:abstractNumId w:val="25"/>
  </w:num>
  <w:num w:numId="32">
    <w:abstractNumId w:val="33"/>
  </w:num>
  <w:num w:numId="33">
    <w:abstractNumId w:val="28"/>
  </w:num>
  <w:num w:numId="34">
    <w:abstractNumId w:val="29"/>
  </w:num>
  <w:num w:numId="3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3</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2021-04-05T18:33:00Z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